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70" w:rsidRDefault="004B1E70" w:rsidP="004B1E70">
      <w:pPr>
        <w:pStyle w:val="Default"/>
      </w:pPr>
    </w:p>
    <w:p w:rsidR="004B1E70" w:rsidRPr="004B1E70" w:rsidRDefault="004B1E70" w:rsidP="004B1E70">
      <w:pPr>
        <w:pStyle w:val="Default"/>
        <w:jc w:val="center"/>
        <w:rPr>
          <w:rFonts w:hAnsi="Times New Roman"/>
          <w:b/>
          <w:sz w:val="36"/>
          <w:szCs w:val="36"/>
        </w:rPr>
      </w:pPr>
      <w:r w:rsidRPr="004B1E70">
        <w:rPr>
          <w:rFonts w:hint="eastAsia"/>
          <w:b/>
          <w:sz w:val="36"/>
          <w:szCs w:val="36"/>
        </w:rPr>
        <w:t>臺東縣家庭教育中心</w:t>
      </w:r>
      <w:r w:rsidRPr="004B1E70">
        <w:rPr>
          <w:rFonts w:ascii="Times New Roman" w:hAnsi="Times New Roman" w:cs="Times New Roman"/>
          <w:b/>
          <w:bCs/>
          <w:sz w:val="36"/>
          <w:szCs w:val="36"/>
        </w:rPr>
        <w:t>11</w:t>
      </w:r>
      <w:r>
        <w:rPr>
          <w:rFonts w:ascii="Times New Roman" w:hAnsi="Times New Roman" w:cs="Times New Roman"/>
          <w:b/>
          <w:bCs/>
          <w:sz w:val="36"/>
          <w:szCs w:val="36"/>
        </w:rPr>
        <w:t>1</w:t>
      </w:r>
      <w:r w:rsidRPr="004B1E70">
        <w:rPr>
          <w:rFonts w:hAnsi="Times New Roman" w:hint="eastAsia"/>
          <w:b/>
          <w:sz w:val="36"/>
          <w:szCs w:val="36"/>
        </w:rPr>
        <w:t>年度協作辦理家庭教育推廣</w:t>
      </w:r>
    </w:p>
    <w:p w:rsidR="004B1E70" w:rsidRDefault="004B1E70" w:rsidP="004B1E70">
      <w:pPr>
        <w:pStyle w:val="Default"/>
        <w:jc w:val="center"/>
        <w:rPr>
          <w:rFonts w:hAnsi="Times New Roman"/>
          <w:b/>
          <w:sz w:val="36"/>
          <w:szCs w:val="36"/>
        </w:rPr>
      </w:pPr>
      <w:r w:rsidRPr="004B1E70">
        <w:rPr>
          <w:rFonts w:hAnsi="Times New Roman" w:hint="eastAsia"/>
          <w:b/>
          <w:sz w:val="36"/>
          <w:szCs w:val="36"/>
        </w:rPr>
        <w:t>性別及社區婦女教育計畫</w:t>
      </w:r>
    </w:p>
    <w:p w:rsidR="004B1E70" w:rsidRPr="004B1E70" w:rsidRDefault="004B1E70" w:rsidP="004B1E70">
      <w:pPr>
        <w:pStyle w:val="Default"/>
        <w:jc w:val="center"/>
        <w:rPr>
          <w:rFonts w:hAnsi="Times New Roman"/>
          <w:b/>
          <w:sz w:val="36"/>
          <w:szCs w:val="36"/>
        </w:rPr>
      </w:pPr>
    </w:p>
    <w:p w:rsidR="004B1E70" w:rsidRPr="006E3317" w:rsidRDefault="004B1E70" w:rsidP="006E3317">
      <w:pPr>
        <w:pStyle w:val="Default"/>
        <w:spacing w:beforeLines="50" w:line="400" w:lineRule="exact"/>
        <w:rPr>
          <w:rFonts w:hAnsi="Times New Roman"/>
          <w:b/>
        </w:rPr>
      </w:pPr>
      <w:r w:rsidRPr="006E3317">
        <w:rPr>
          <w:rFonts w:hAnsi="Times New Roman" w:hint="eastAsia"/>
          <w:b/>
        </w:rPr>
        <w:t>壹、</w:t>
      </w:r>
      <w:r w:rsidRPr="006E3317">
        <w:rPr>
          <w:rFonts w:hAnsi="Times New Roman"/>
          <w:b/>
        </w:rPr>
        <w:t xml:space="preserve"> </w:t>
      </w:r>
      <w:r w:rsidRPr="006E3317">
        <w:rPr>
          <w:rFonts w:hAnsi="Times New Roman" w:hint="eastAsia"/>
          <w:b/>
        </w:rPr>
        <w:t>依據教育部</w:t>
      </w:r>
      <w:r w:rsidRPr="006E3317">
        <w:rPr>
          <w:rFonts w:ascii="Times New Roman" w:hAnsi="Times New Roman" w:cs="Times New Roman"/>
          <w:b/>
          <w:bCs/>
        </w:rPr>
        <w:t>補助</w:t>
      </w:r>
      <w:r w:rsidRPr="006E3317">
        <w:rPr>
          <w:rFonts w:ascii="Times New Roman" w:hAnsi="Times New Roman" w:cs="Times New Roman"/>
          <w:b/>
          <w:bCs/>
        </w:rPr>
        <w:t>111</w:t>
      </w:r>
      <w:r w:rsidRPr="006E3317">
        <w:rPr>
          <w:rFonts w:ascii="Times New Roman" w:hAnsi="Times New Roman" w:cs="Times New Roman"/>
          <w:b/>
          <w:bCs/>
        </w:rPr>
        <w:t>年度推展家庭教育計畫書</w:t>
      </w:r>
      <w:r w:rsidRPr="006E3317">
        <w:rPr>
          <w:rFonts w:hAnsi="Times New Roman" w:hint="eastAsia"/>
          <w:b/>
        </w:rPr>
        <w:t>辦理。</w:t>
      </w:r>
      <w:r w:rsidRPr="006E3317">
        <w:rPr>
          <w:rFonts w:hAnsi="Times New Roman"/>
          <w:b/>
        </w:rPr>
        <w:t xml:space="preserve"> </w:t>
      </w:r>
    </w:p>
    <w:p w:rsidR="004B1E70" w:rsidRPr="006E3317" w:rsidRDefault="004B1E70" w:rsidP="006E3317">
      <w:pPr>
        <w:pStyle w:val="Default"/>
        <w:spacing w:beforeLines="50" w:line="400" w:lineRule="exact"/>
        <w:rPr>
          <w:rFonts w:hAnsi="Times New Roman"/>
          <w:b/>
        </w:rPr>
      </w:pPr>
      <w:r w:rsidRPr="006E3317">
        <w:rPr>
          <w:rFonts w:hAnsi="Times New Roman" w:hint="eastAsia"/>
          <w:b/>
        </w:rPr>
        <w:t>貳、</w:t>
      </w:r>
      <w:r w:rsidRPr="006E3317">
        <w:rPr>
          <w:rFonts w:hAnsi="Times New Roman"/>
          <w:b/>
        </w:rPr>
        <w:t xml:space="preserve"> </w:t>
      </w:r>
      <w:r w:rsidRPr="006E3317">
        <w:rPr>
          <w:rFonts w:hAnsi="Times New Roman" w:hint="eastAsia"/>
          <w:b/>
        </w:rPr>
        <w:t>計畫重點議題／重點內容說明</w:t>
      </w:r>
      <w:r w:rsidRPr="006E3317">
        <w:rPr>
          <w:rFonts w:hAnsi="Times New Roman"/>
          <w:b/>
        </w:rPr>
        <w:t xml:space="preserve"> </w:t>
      </w:r>
    </w:p>
    <w:p w:rsidR="004B1E70" w:rsidRPr="006E3317" w:rsidRDefault="004B1E70" w:rsidP="006E3317">
      <w:pPr>
        <w:pStyle w:val="Default"/>
        <w:spacing w:beforeLines="50" w:line="400" w:lineRule="exact"/>
        <w:rPr>
          <w:rFonts w:hAnsi="Times New Roman"/>
        </w:rPr>
      </w:pPr>
      <w:r w:rsidRPr="006E3317">
        <w:rPr>
          <w:rFonts w:hAnsi="Times New Roman" w:hint="eastAsia"/>
        </w:rPr>
        <w:t>一、</w:t>
      </w:r>
      <w:r w:rsidRPr="006E3317">
        <w:rPr>
          <w:rFonts w:hAnsi="Times New Roman"/>
        </w:rPr>
        <w:t xml:space="preserve"> </w:t>
      </w:r>
      <w:r w:rsidRPr="006E3317">
        <w:rPr>
          <w:rFonts w:hAnsi="Times New Roman" w:hint="eastAsia"/>
        </w:rPr>
        <w:t>性別與社區婦女教育重點議題及內容說明如下，請依主題提出申請：</w:t>
      </w:r>
      <w:r w:rsidRPr="006E3317">
        <w:rPr>
          <w:rFonts w:hAnsi="Times New Roman"/>
        </w:rPr>
        <w:t xml:space="preserve"> </w:t>
      </w:r>
    </w:p>
    <w:p w:rsidR="004B1E70" w:rsidRPr="00F13AE3" w:rsidRDefault="004B1E70" w:rsidP="006E3317">
      <w:pPr>
        <w:pStyle w:val="Default"/>
        <w:spacing w:beforeLines="50" w:line="400" w:lineRule="exact"/>
        <w:rPr>
          <w:rFonts w:hAnsi="Wingdings" w:hint="eastAsia"/>
          <w:b/>
        </w:rPr>
      </w:pPr>
      <w:r w:rsidRPr="006E3317">
        <w:rPr>
          <w:rFonts w:ascii="Wingdings" w:hAnsi="Wingdings" w:cs="Wingdings"/>
        </w:rPr>
        <w:t></w:t>
      </w:r>
      <w:r w:rsidRPr="006E3317">
        <w:rPr>
          <w:rFonts w:ascii="Wingdings" w:hAnsi="Wingdings" w:cs="Wingdings"/>
        </w:rPr>
        <w:t></w:t>
      </w:r>
      <w:r w:rsidRPr="00F13AE3">
        <w:rPr>
          <w:rFonts w:hAnsi="Wingdings" w:hint="eastAsia"/>
          <w:b/>
        </w:rPr>
        <w:t xml:space="preserve">性別平等教育與成長 </w:t>
      </w:r>
    </w:p>
    <w:p w:rsidR="004B1E70" w:rsidRPr="006E3317" w:rsidRDefault="004B1E70" w:rsidP="006E3317">
      <w:pPr>
        <w:pStyle w:val="Default"/>
        <w:spacing w:beforeLines="50" w:line="400" w:lineRule="exact"/>
        <w:rPr>
          <w:rFonts w:hAnsi="Times New Roman"/>
          <w:color w:val="auto"/>
        </w:rPr>
      </w:pPr>
      <w:r w:rsidRPr="006E3317">
        <w:rPr>
          <w:rFonts w:ascii="Times New Roman" w:hAnsi="Times New Roman" w:cs="Times New Roman"/>
          <w:color w:val="auto"/>
        </w:rPr>
        <w:t xml:space="preserve">1. </w:t>
      </w:r>
      <w:r w:rsidRPr="006E3317">
        <w:rPr>
          <w:rFonts w:hAnsi="Times New Roman" w:hint="eastAsia"/>
          <w:color w:val="auto"/>
        </w:rPr>
        <w:t>性別平等意識成長</w:t>
      </w:r>
      <w:r w:rsidRPr="006E3317">
        <w:rPr>
          <w:rFonts w:hAnsi="Times New Roman"/>
          <w:color w:val="auto"/>
        </w:rPr>
        <w:t xml:space="preserve"> </w:t>
      </w:r>
    </w:p>
    <w:p w:rsidR="004B1E70" w:rsidRPr="006E3317" w:rsidRDefault="004B1E70" w:rsidP="006E3317">
      <w:pPr>
        <w:pStyle w:val="Default"/>
        <w:spacing w:beforeLines="50" w:line="400" w:lineRule="exact"/>
        <w:rPr>
          <w:rFonts w:hAnsi="Times New Roman"/>
          <w:color w:val="auto"/>
        </w:rPr>
      </w:pPr>
      <w:r w:rsidRPr="006E3317">
        <w:rPr>
          <w:rFonts w:ascii="Times New Roman" w:hAnsi="Times New Roman" w:cs="Times New Roman"/>
          <w:color w:val="auto"/>
        </w:rPr>
        <w:t xml:space="preserve">2. </w:t>
      </w:r>
      <w:r w:rsidRPr="006E3317">
        <w:rPr>
          <w:rFonts w:hAnsi="Times New Roman" w:hint="eastAsia"/>
          <w:color w:val="auto"/>
        </w:rPr>
        <w:t>多元</w:t>
      </w:r>
      <w:r w:rsidR="00733EE8" w:rsidRPr="006E3317">
        <w:rPr>
          <w:rFonts w:hAnsi="Times New Roman" w:hint="eastAsia"/>
          <w:color w:val="auto"/>
        </w:rPr>
        <w:t>型態家庭的認識與尊重</w:t>
      </w:r>
    </w:p>
    <w:p w:rsidR="00733EE8" w:rsidRPr="006E3317" w:rsidRDefault="004B1E70" w:rsidP="006E3317">
      <w:pPr>
        <w:pStyle w:val="Default"/>
        <w:spacing w:beforeLines="50" w:line="400" w:lineRule="exact"/>
        <w:rPr>
          <w:rFonts w:hAnsi="Times New Roman"/>
          <w:color w:val="auto"/>
        </w:rPr>
      </w:pPr>
      <w:r w:rsidRPr="006E3317">
        <w:rPr>
          <w:rFonts w:ascii="Times New Roman" w:hAnsi="Times New Roman" w:cs="Times New Roman"/>
          <w:color w:val="auto"/>
        </w:rPr>
        <w:t xml:space="preserve">3. </w:t>
      </w:r>
      <w:r w:rsidRPr="006E3317">
        <w:rPr>
          <w:rFonts w:hAnsi="Times New Roman" w:hint="eastAsia"/>
          <w:color w:val="auto"/>
        </w:rPr>
        <w:t>男性性別意識</w:t>
      </w:r>
      <w:r w:rsidR="00733EE8" w:rsidRPr="006E3317">
        <w:rPr>
          <w:rFonts w:hAnsi="Times New Roman" w:hint="eastAsia"/>
          <w:color w:val="auto"/>
        </w:rPr>
        <w:t>與家庭角色成長</w:t>
      </w:r>
      <w:r w:rsidRPr="006E3317">
        <w:rPr>
          <w:rFonts w:hAnsi="Times New Roman"/>
          <w:color w:val="auto"/>
        </w:rPr>
        <w:t xml:space="preserve"> </w:t>
      </w:r>
    </w:p>
    <w:p w:rsidR="004B1E70" w:rsidRPr="00F13AE3" w:rsidRDefault="004B1E70" w:rsidP="006E3317">
      <w:pPr>
        <w:pStyle w:val="Default"/>
        <w:spacing w:beforeLines="50" w:line="400" w:lineRule="exact"/>
        <w:rPr>
          <w:rFonts w:hAnsi="Wingdings" w:hint="eastAsia"/>
          <w:b/>
          <w:color w:val="FF0000"/>
        </w:rPr>
      </w:pPr>
      <w:r w:rsidRPr="006E3317">
        <w:rPr>
          <w:rFonts w:ascii="Wingdings" w:hAnsi="Wingdings" w:cs="Wingdings"/>
          <w:color w:val="auto"/>
        </w:rPr>
        <w:t></w:t>
      </w:r>
      <w:r w:rsidRPr="006E3317">
        <w:rPr>
          <w:rFonts w:ascii="Wingdings" w:hAnsi="Wingdings" w:cs="Wingdings"/>
          <w:color w:val="FF0000"/>
        </w:rPr>
        <w:t></w:t>
      </w:r>
      <w:r w:rsidR="00733EE8" w:rsidRPr="00F13AE3">
        <w:rPr>
          <w:rFonts w:hAnsi="Wingdings" w:hint="eastAsia"/>
          <w:b/>
        </w:rPr>
        <w:t>女性角色覺察與增能</w:t>
      </w:r>
      <w:r w:rsidRPr="00F13AE3">
        <w:rPr>
          <w:rFonts w:hAnsi="Wingdings" w:hint="eastAsia"/>
          <w:b/>
        </w:rPr>
        <w:t xml:space="preserve"> </w:t>
      </w:r>
    </w:p>
    <w:p w:rsidR="00733EE8" w:rsidRPr="006E3317" w:rsidRDefault="00733EE8" w:rsidP="006E3317">
      <w:pPr>
        <w:pStyle w:val="Default"/>
        <w:numPr>
          <w:ilvl w:val="0"/>
          <w:numId w:val="6"/>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多元型態家庭女性自我增能培力</w:t>
      </w:r>
    </w:p>
    <w:p w:rsidR="009C0669" w:rsidRPr="006E3317" w:rsidRDefault="00733EE8" w:rsidP="006E3317">
      <w:pPr>
        <w:pStyle w:val="Default"/>
        <w:numPr>
          <w:ilvl w:val="0"/>
          <w:numId w:val="8"/>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性別意識建構與培力，使婦女自我增能，培力女性領導人。</w:t>
      </w:r>
    </w:p>
    <w:p w:rsidR="009C0669" w:rsidRPr="006E3317" w:rsidRDefault="00733EE8" w:rsidP="006E3317">
      <w:pPr>
        <w:pStyle w:val="Default"/>
        <w:numPr>
          <w:ilvl w:val="0"/>
          <w:numId w:val="8"/>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生命覺察及法律權益宣導，婦女相關政策法令、法律權益宣導。</w:t>
      </w:r>
    </w:p>
    <w:p w:rsidR="00733EE8" w:rsidRPr="006E3317" w:rsidRDefault="00733EE8" w:rsidP="006E3317">
      <w:pPr>
        <w:pStyle w:val="Default"/>
        <w:numPr>
          <w:ilvl w:val="0"/>
          <w:numId w:val="8"/>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性別平等概念融入家庭教育活動。</w:t>
      </w:r>
    </w:p>
    <w:p w:rsidR="00733EE8" w:rsidRPr="006E3317" w:rsidRDefault="00733EE8" w:rsidP="006E3317">
      <w:pPr>
        <w:pStyle w:val="Default"/>
        <w:numPr>
          <w:ilvl w:val="0"/>
          <w:numId w:val="6"/>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多元型態家庭女性支持性課程</w:t>
      </w:r>
    </w:p>
    <w:p w:rsidR="009C0669" w:rsidRPr="006E3317" w:rsidRDefault="00733EE8" w:rsidP="006E3317">
      <w:pPr>
        <w:pStyle w:val="Default"/>
        <w:numPr>
          <w:ilvl w:val="0"/>
          <w:numId w:val="10"/>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針對多元型態家庭女性生活與家庭經驗需求規劃相關教育性與支持性課程。</w:t>
      </w:r>
    </w:p>
    <w:p w:rsidR="009C0669" w:rsidRPr="006E3317" w:rsidRDefault="00733EE8" w:rsidP="006E3317">
      <w:pPr>
        <w:pStyle w:val="Default"/>
        <w:numPr>
          <w:ilvl w:val="0"/>
          <w:numId w:val="10"/>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由實施對象之生命歷程與性別觀點，探討女性與婚姻、家庭之生活調適、壓力、情緒與因應。</w:t>
      </w:r>
    </w:p>
    <w:p w:rsidR="00864F25" w:rsidRPr="006E3317" w:rsidRDefault="00733EE8" w:rsidP="006E3317">
      <w:pPr>
        <w:pStyle w:val="Default"/>
        <w:numPr>
          <w:ilvl w:val="0"/>
          <w:numId w:val="10"/>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從同群體的女性之間分享在地婦女性別經驗，並以文化經驗傳承。</w:t>
      </w:r>
    </w:p>
    <w:p w:rsidR="00733EE8" w:rsidRPr="006E3317" w:rsidRDefault="00733EE8" w:rsidP="006E3317">
      <w:pPr>
        <w:pStyle w:val="Default"/>
        <w:numPr>
          <w:ilvl w:val="0"/>
          <w:numId w:val="6"/>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多元型態家庭女性家庭生活管理</w:t>
      </w:r>
    </w:p>
    <w:p w:rsidR="00733EE8" w:rsidRPr="006E3317" w:rsidRDefault="00733EE8" w:rsidP="006E3317">
      <w:pPr>
        <w:pStyle w:val="Default"/>
        <w:numPr>
          <w:ilvl w:val="0"/>
          <w:numId w:val="12"/>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強化家人關係經營與溝通</w:t>
      </w:r>
    </w:p>
    <w:p w:rsidR="00733EE8" w:rsidRPr="006E3317" w:rsidRDefault="00733EE8" w:rsidP="006E3317">
      <w:pPr>
        <w:pStyle w:val="Default"/>
        <w:numPr>
          <w:ilvl w:val="0"/>
          <w:numId w:val="12"/>
        </w:numPr>
        <w:spacing w:beforeLines="50" w:line="400" w:lineRule="exact"/>
        <w:rPr>
          <w:rFonts w:ascii="Times New Roman" w:hAnsi="Times New Roman" w:cs="Times New Roman"/>
          <w:color w:val="auto"/>
        </w:rPr>
      </w:pPr>
      <w:r w:rsidRPr="006E3317">
        <w:rPr>
          <w:rFonts w:ascii="Times New Roman" w:hAnsi="Times New Roman" w:cs="Times New Roman" w:hint="eastAsia"/>
          <w:color w:val="auto"/>
        </w:rPr>
        <w:t>家庭資源管理課程與教育活動。</w:t>
      </w:r>
    </w:p>
    <w:p w:rsidR="004B1E70" w:rsidRPr="006E3317" w:rsidRDefault="004B1E70" w:rsidP="006E3317">
      <w:pPr>
        <w:pStyle w:val="Default"/>
        <w:spacing w:beforeLines="50" w:line="400" w:lineRule="exact"/>
        <w:rPr>
          <w:rFonts w:hAnsi="Times New Roman"/>
        </w:rPr>
      </w:pPr>
      <w:r w:rsidRPr="006E3317">
        <w:rPr>
          <w:rFonts w:hAnsi="Times New Roman" w:hint="eastAsia"/>
        </w:rPr>
        <w:t>二、</w:t>
      </w:r>
      <w:r w:rsidRPr="006E3317">
        <w:rPr>
          <w:rFonts w:hAnsi="Times New Roman"/>
        </w:rPr>
        <w:t xml:space="preserve"> </w:t>
      </w:r>
      <w:r w:rsidRPr="006E3317">
        <w:rPr>
          <w:rFonts w:hAnsi="Times New Roman" w:hint="eastAsia"/>
        </w:rPr>
        <w:t>辦理對象：有性別與家庭教育需求之相關機關／構、社區、團體及民間單位。</w:t>
      </w:r>
      <w:r w:rsidRPr="006E3317">
        <w:rPr>
          <w:rFonts w:hAnsi="Times New Roman"/>
        </w:rPr>
        <w:t xml:space="preserve"> </w:t>
      </w:r>
    </w:p>
    <w:p w:rsidR="004B1E70" w:rsidRPr="006E3317" w:rsidRDefault="004B1E70" w:rsidP="006E3317">
      <w:pPr>
        <w:pStyle w:val="Default"/>
        <w:spacing w:beforeLines="50" w:line="400" w:lineRule="exact"/>
        <w:ind w:left="590" w:hangingChars="246" w:hanging="590"/>
        <w:rPr>
          <w:rFonts w:hAnsi="Times New Roman"/>
        </w:rPr>
      </w:pPr>
      <w:r w:rsidRPr="006E3317">
        <w:rPr>
          <w:rFonts w:hAnsi="Times New Roman" w:hint="eastAsia"/>
        </w:rPr>
        <w:t>三、</w:t>
      </w:r>
      <w:r w:rsidRPr="006E3317">
        <w:rPr>
          <w:rFonts w:hAnsi="Times New Roman"/>
        </w:rPr>
        <w:t xml:space="preserve"> </w:t>
      </w:r>
      <w:r w:rsidRPr="006E3317">
        <w:rPr>
          <w:rFonts w:hAnsi="Times New Roman" w:hint="eastAsia"/>
        </w:rPr>
        <w:t>辦理形式：宜考量推展方式與策略之合宜性，以讀書會、講座、入班教學、成長團體、數位學習</w:t>
      </w:r>
      <w:r w:rsidRPr="006E3317">
        <w:rPr>
          <w:rFonts w:ascii="Times New Roman" w:hAnsi="Times New Roman" w:cs="Times New Roman"/>
        </w:rPr>
        <w:t>(e-learning)</w:t>
      </w:r>
      <w:r w:rsidRPr="006E3317">
        <w:rPr>
          <w:rFonts w:hAnsi="Times New Roman" w:hint="eastAsia"/>
        </w:rPr>
        <w:t>等多元型態進行；或其它可達目計畫目的之活動形式。</w:t>
      </w:r>
      <w:r w:rsidRPr="006E3317">
        <w:rPr>
          <w:rFonts w:hAnsi="Times New Roman"/>
        </w:rPr>
        <w:t xml:space="preserve"> </w:t>
      </w:r>
    </w:p>
    <w:p w:rsidR="004B1E70" w:rsidRPr="006E3317" w:rsidRDefault="004B1E70" w:rsidP="006E3317">
      <w:pPr>
        <w:pStyle w:val="Default"/>
        <w:spacing w:beforeLines="50" w:line="400" w:lineRule="exact"/>
        <w:rPr>
          <w:rFonts w:ascii="Times New Roman" w:hAnsi="Times New Roman" w:cs="Times New Roman"/>
        </w:rPr>
      </w:pPr>
      <w:r w:rsidRPr="006E3317">
        <w:rPr>
          <w:rFonts w:hAnsi="Times New Roman" w:hint="eastAsia"/>
        </w:rPr>
        <w:t>四、</w:t>
      </w:r>
      <w:r w:rsidRPr="006E3317">
        <w:rPr>
          <w:rFonts w:hAnsi="Times New Roman"/>
        </w:rPr>
        <w:t xml:space="preserve"> </w:t>
      </w:r>
      <w:r w:rsidRPr="006E3317">
        <w:rPr>
          <w:rFonts w:hAnsi="Times New Roman" w:hint="eastAsia"/>
        </w:rPr>
        <w:t>承辦人：徐青憶老師</w:t>
      </w:r>
      <w:r w:rsidRPr="006E3317">
        <w:rPr>
          <w:rFonts w:ascii="Times New Roman" w:hAnsi="Times New Roman" w:cs="Times New Roman"/>
        </w:rPr>
        <w:t xml:space="preserve">341149*24 </w:t>
      </w:r>
    </w:p>
    <w:p w:rsidR="006E3317" w:rsidRDefault="004B1E70" w:rsidP="006E3317">
      <w:pPr>
        <w:pStyle w:val="Default"/>
        <w:spacing w:beforeLines="50" w:line="400" w:lineRule="exact"/>
        <w:ind w:left="590" w:hangingChars="246" w:hanging="590"/>
        <w:rPr>
          <w:rFonts w:hAnsi="Times New Roman" w:hint="eastAsia"/>
        </w:rPr>
      </w:pPr>
      <w:r w:rsidRPr="006E3317">
        <w:rPr>
          <w:rFonts w:hAnsi="Times New Roman" w:hint="eastAsia"/>
        </w:rPr>
        <w:t>五、</w:t>
      </w:r>
      <w:r w:rsidRPr="006E3317">
        <w:rPr>
          <w:rFonts w:hAnsi="Times New Roman"/>
        </w:rPr>
        <w:t xml:space="preserve"> </w:t>
      </w:r>
      <w:r w:rsidRPr="006E3317">
        <w:rPr>
          <w:rFonts w:hAnsi="Times New Roman" w:hint="eastAsia"/>
        </w:rPr>
        <w:t>請於預定計畫執行日前1個月或</w:t>
      </w:r>
      <w:r w:rsidRPr="006E3317">
        <w:rPr>
          <w:rFonts w:ascii="Times New Roman" w:hAnsi="Times New Roman" w:cs="Times New Roman"/>
        </w:rPr>
        <w:t>111</w:t>
      </w:r>
      <w:r w:rsidRPr="006E3317">
        <w:rPr>
          <w:rFonts w:hAnsi="Times New Roman" w:hint="eastAsia"/>
        </w:rPr>
        <w:t>年</w:t>
      </w:r>
      <w:r w:rsidRPr="006E3317">
        <w:rPr>
          <w:rFonts w:ascii="Times New Roman" w:hAnsi="Times New Roman" w:cs="Times New Roman"/>
        </w:rPr>
        <w:t>10</w:t>
      </w:r>
      <w:r w:rsidRPr="006E3317">
        <w:rPr>
          <w:rFonts w:hAnsi="Times New Roman" w:hint="eastAsia"/>
        </w:rPr>
        <w:t>月</w:t>
      </w:r>
      <w:r w:rsidRPr="006E3317">
        <w:rPr>
          <w:rFonts w:ascii="Times New Roman" w:hAnsi="Times New Roman" w:cs="Times New Roman"/>
        </w:rPr>
        <w:t>3</w:t>
      </w:r>
      <w:r w:rsidR="006E3317" w:rsidRPr="006E3317">
        <w:rPr>
          <w:rFonts w:ascii="Times New Roman" w:hAnsi="Times New Roman" w:cs="Times New Roman"/>
        </w:rPr>
        <w:t>1</w:t>
      </w:r>
      <w:r w:rsidRPr="006E3317">
        <w:rPr>
          <w:rFonts w:hAnsi="Times New Roman" w:hint="eastAsia"/>
        </w:rPr>
        <w:t>日前提出申請，並於計畫執行完一個月內核銷完成。</w:t>
      </w:r>
    </w:p>
    <w:p w:rsidR="006E3317" w:rsidRDefault="006E3317" w:rsidP="006E3317">
      <w:pPr>
        <w:pStyle w:val="Default"/>
        <w:spacing w:beforeLines="50" w:line="400" w:lineRule="exact"/>
        <w:ind w:left="590" w:hangingChars="246" w:hanging="590"/>
        <w:rPr>
          <w:rFonts w:hAnsi="Times New Roman" w:hint="eastAsia"/>
        </w:rPr>
      </w:pPr>
    </w:p>
    <w:p w:rsidR="006E3317" w:rsidRDefault="006E3317" w:rsidP="006E3317">
      <w:pPr>
        <w:pStyle w:val="Default"/>
        <w:spacing w:beforeLines="50" w:line="400" w:lineRule="exact"/>
        <w:ind w:left="590" w:hangingChars="246" w:hanging="590"/>
        <w:rPr>
          <w:rFonts w:hAnsi="Times New Roman" w:hint="eastAsia"/>
        </w:rPr>
      </w:pPr>
    </w:p>
    <w:p w:rsidR="00864F25" w:rsidRPr="006E3317" w:rsidRDefault="004B1E70" w:rsidP="006E3317">
      <w:pPr>
        <w:pStyle w:val="Default"/>
        <w:spacing w:beforeLines="50" w:line="400" w:lineRule="exact"/>
        <w:ind w:left="590" w:hangingChars="246" w:hanging="590"/>
        <w:rPr>
          <w:rFonts w:hAnsi="Times New Roman"/>
        </w:rPr>
      </w:pPr>
      <w:r w:rsidRPr="006E3317">
        <w:rPr>
          <w:rFonts w:hAnsi="Times New Roman"/>
        </w:rPr>
        <w:t xml:space="preserve"> </w:t>
      </w:r>
    </w:p>
    <w:p w:rsidR="004B1E70" w:rsidRPr="006E3317" w:rsidRDefault="004B1E70" w:rsidP="006E3317">
      <w:pPr>
        <w:pStyle w:val="Default"/>
        <w:spacing w:beforeLines="50" w:line="400" w:lineRule="exact"/>
        <w:rPr>
          <w:rFonts w:cstheme="minorBidi"/>
          <w:b/>
          <w:color w:val="auto"/>
          <w:szCs w:val="28"/>
        </w:rPr>
      </w:pPr>
      <w:r w:rsidRPr="006E3317">
        <w:rPr>
          <w:rFonts w:cstheme="minorBidi"/>
          <w:b/>
          <w:color w:val="auto"/>
          <w:szCs w:val="28"/>
        </w:rPr>
        <w:lastRenderedPageBreak/>
        <w:t xml:space="preserve">參、 共通性審查意見說明： </w:t>
      </w:r>
    </w:p>
    <w:p w:rsidR="006E3317" w:rsidRPr="006437A5" w:rsidRDefault="006E3317" w:rsidP="006E3317">
      <w:pPr>
        <w:tabs>
          <w:tab w:val="left" w:pos="142"/>
          <w:tab w:val="left" w:pos="284"/>
          <w:tab w:val="left" w:pos="426"/>
        </w:tabs>
        <w:spacing w:line="400" w:lineRule="exact"/>
        <w:jc w:val="both"/>
        <w:rPr>
          <w:rFonts w:ascii="標楷體" w:eastAsia="標楷體" w:hAnsi="標楷體"/>
          <w:szCs w:val="24"/>
        </w:rPr>
      </w:pPr>
      <w:r w:rsidRPr="006437A5">
        <w:rPr>
          <w:rFonts w:ascii="標楷體" w:eastAsia="標楷體" w:hAnsi="標楷體" w:hint="eastAsia"/>
          <w:szCs w:val="24"/>
        </w:rPr>
        <w:t>一、</w:t>
      </w:r>
      <w:r w:rsidRPr="006437A5">
        <w:rPr>
          <w:rFonts w:ascii="標楷體" w:eastAsia="標楷體" w:hAnsi="標楷體" w:hint="eastAsia"/>
          <w:b/>
          <w:szCs w:val="24"/>
        </w:rPr>
        <w:t>申請作業：</w:t>
      </w:r>
    </w:p>
    <w:p w:rsidR="006E3317" w:rsidRDefault="006E3317" w:rsidP="006E3317">
      <w:pPr>
        <w:spacing w:line="400" w:lineRule="exact"/>
        <w:ind w:firstLineChars="202" w:firstLine="485"/>
        <w:jc w:val="both"/>
        <w:rPr>
          <w:rFonts w:ascii="Times New Roman" w:eastAsia="標楷體" w:hAnsi="Times New Roman"/>
          <w:szCs w:val="28"/>
        </w:rPr>
      </w:pPr>
      <w:r w:rsidRPr="006437A5">
        <w:rPr>
          <w:rFonts w:ascii="標楷體" w:eastAsia="標楷體" w:hAnsi="標楷體" w:hint="eastAsia"/>
          <w:szCs w:val="24"/>
        </w:rPr>
        <w:t>請參</w:t>
      </w:r>
      <w:r>
        <w:rPr>
          <w:rFonts w:ascii="標楷體" w:eastAsia="標楷體" w:hAnsi="標楷體" w:hint="eastAsia"/>
          <w:szCs w:val="24"/>
        </w:rPr>
        <w:t>考各項計畫內容提示，並依據各單位在地需求及資源情形，學校需</w:t>
      </w:r>
      <w:r w:rsidRPr="006437A5">
        <w:rPr>
          <w:rFonts w:ascii="標楷體" w:eastAsia="標楷體" w:hAnsi="標楷體" w:hint="eastAsia"/>
          <w:szCs w:val="24"/>
        </w:rPr>
        <w:t>於計畫中提供</w:t>
      </w:r>
      <w:r>
        <w:rPr>
          <w:rFonts w:ascii="標楷體" w:eastAsia="標楷體" w:hAnsi="標楷體" w:hint="eastAsia"/>
          <w:b/>
          <w:szCs w:val="24"/>
        </w:rPr>
        <w:t>參加人數</w:t>
      </w:r>
      <w:r w:rsidRPr="006437A5">
        <w:rPr>
          <w:rFonts w:ascii="標楷體" w:eastAsia="標楷體" w:hAnsi="標楷體" w:hint="eastAsia"/>
          <w:b/>
          <w:szCs w:val="24"/>
        </w:rPr>
        <w:t>等基本資料</w:t>
      </w:r>
      <w:r>
        <w:rPr>
          <w:rFonts w:ascii="標楷體" w:eastAsia="標楷體" w:hAnsi="標楷體" w:hint="eastAsia"/>
          <w:szCs w:val="24"/>
        </w:rPr>
        <w:t>，研擬實施計畫與經費概算，核章後請於各項議題申請前</w:t>
      </w:r>
      <w:r w:rsidRPr="006437A5">
        <w:rPr>
          <w:rFonts w:ascii="標楷體" w:eastAsia="標楷體" w:hAnsi="標楷體" w:hint="eastAsia"/>
          <w:szCs w:val="24"/>
        </w:rPr>
        <w:t>函文</w:t>
      </w:r>
      <w:r>
        <w:rPr>
          <w:rFonts w:ascii="標楷體" w:eastAsia="標楷體" w:hAnsi="標楷體" w:hint="eastAsia"/>
          <w:szCs w:val="24"/>
        </w:rPr>
        <w:t>逕送（寄）本中心審查。</w:t>
      </w:r>
    </w:p>
    <w:p w:rsidR="006E3317" w:rsidRPr="006437A5" w:rsidRDefault="006E3317" w:rsidP="006E3317">
      <w:pPr>
        <w:spacing w:line="400" w:lineRule="exact"/>
        <w:jc w:val="both"/>
        <w:rPr>
          <w:rFonts w:ascii="標楷體" w:eastAsia="標楷體" w:hAnsi="標楷體"/>
          <w:szCs w:val="24"/>
        </w:rPr>
      </w:pPr>
      <w:r w:rsidRPr="006437A5">
        <w:rPr>
          <w:rFonts w:ascii="標楷體" w:eastAsia="標楷體" w:hAnsi="標楷體" w:hint="eastAsia"/>
          <w:szCs w:val="24"/>
        </w:rPr>
        <w:t>二、</w:t>
      </w:r>
      <w:r w:rsidRPr="006437A5">
        <w:rPr>
          <w:rFonts w:ascii="標楷體" w:eastAsia="標楷體" w:hAnsi="標楷體" w:hint="eastAsia"/>
          <w:b/>
          <w:szCs w:val="24"/>
        </w:rPr>
        <w:t>審查作業</w:t>
      </w:r>
      <w:r w:rsidRPr="006437A5">
        <w:rPr>
          <w:rFonts w:ascii="標楷體" w:eastAsia="標楷體" w:hAnsi="標楷體" w:hint="eastAsia"/>
          <w:szCs w:val="24"/>
        </w:rPr>
        <w:t>：</w:t>
      </w:r>
    </w:p>
    <w:p w:rsidR="006E3317" w:rsidRDefault="006E3317" w:rsidP="006E3317">
      <w:pPr>
        <w:pStyle w:val="a7"/>
        <w:numPr>
          <w:ilvl w:val="0"/>
          <w:numId w:val="15"/>
        </w:numPr>
        <w:spacing w:line="400" w:lineRule="exact"/>
        <w:ind w:leftChars="0"/>
        <w:jc w:val="both"/>
        <w:rPr>
          <w:rFonts w:ascii="標楷體" w:eastAsia="標楷體"/>
          <w:szCs w:val="24"/>
        </w:rPr>
      </w:pPr>
      <w:r w:rsidRPr="0001486D">
        <w:rPr>
          <w:rFonts w:ascii="標楷體" w:eastAsia="標楷體" w:hAnsi="標楷體" w:hint="eastAsia"/>
          <w:szCs w:val="24"/>
        </w:rPr>
        <w:t>於定申請期限截止後，由本中心邀請家庭教育輔導團審查，</w:t>
      </w:r>
      <w:r w:rsidRPr="0001486D">
        <w:rPr>
          <w:rFonts w:ascii="標楷體" w:eastAsia="標楷體" w:hAnsi="標楷體" w:hint="eastAsia"/>
          <w:color w:val="000000"/>
          <w:szCs w:val="24"/>
        </w:rPr>
        <w:t>依實施計畫-</w:t>
      </w:r>
      <w:r w:rsidRPr="0001486D">
        <w:rPr>
          <w:rFonts w:ascii="標楷體" w:eastAsia="標楷體" w:hint="eastAsia"/>
          <w:szCs w:val="24"/>
        </w:rPr>
        <w:t>包含活動主題及內涵是否具有家庭教育理念、辦理時間、地點與宣傳是否符合學校或社區民眾需求、講師是否具備家庭教育專業</w:t>
      </w:r>
      <w:bookmarkStart w:id="0" w:name="_GoBack"/>
      <w:bookmarkEnd w:id="0"/>
      <w:r w:rsidRPr="0001486D">
        <w:rPr>
          <w:rFonts w:ascii="標楷體" w:eastAsia="標楷體" w:hint="eastAsia"/>
          <w:szCs w:val="24"/>
        </w:rPr>
        <w:t>背景</w:t>
      </w:r>
      <w:r w:rsidRPr="0001486D">
        <w:rPr>
          <w:rFonts w:ascii="標楷體" w:eastAsia="標楷體" w:hAnsi="標楷體" w:hint="eastAsia"/>
          <w:szCs w:val="24"/>
        </w:rPr>
        <w:t>前項所</w:t>
      </w:r>
      <w:r w:rsidRPr="0001486D">
        <w:rPr>
          <w:rFonts w:ascii="標楷體" w:eastAsia="標楷體" w:hint="eastAsia"/>
          <w:szCs w:val="24"/>
        </w:rPr>
        <w:t>。</w:t>
      </w:r>
    </w:p>
    <w:p w:rsidR="006E3317" w:rsidRDefault="006E3317" w:rsidP="006E3317">
      <w:pPr>
        <w:pStyle w:val="a7"/>
        <w:numPr>
          <w:ilvl w:val="0"/>
          <w:numId w:val="15"/>
        </w:numPr>
        <w:spacing w:line="400" w:lineRule="exact"/>
        <w:ind w:leftChars="0"/>
        <w:jc w:val="both"/>
        <w:rPr>
          <w:rFonts w:ascii="標楷體" w:eastAsia="標楷體"/>
          <w:szCs w:val="24"/>
        </w:rPr>
      </w:pPr>
      <w:r>
        <w:rPr>
          <w:rFonts w:ascii="標楷體" w:eastAsia="標楷體" w:hint="eastAsia"/>
          <w:szCs w:val="24"/>
        </w:rPr>
        <w:t>依去年各單位執行情形、</w:t>
      </w:r>
      <w:r w:rsidRPr="0001486D">
        <w:rPr>
          <w:rFonts w:ascii="標楷體" w:eastAsia="標楷體" w:hint="eastAsia"/>
          <w:szCs w:val="24"/>
        </w:rPr>
        <w:t>參加人次、核銷期程、經費支用等情形，作為</w:t>
      </w:r>
      <w:r>
        <w:rPr>
          <w:rFonts w:ascii="標楷體" w:eastAsia="標楷體" w:hint="eastAsia"/>
          <w:szCs w:val="24"/>
        </w:rPr>
        <w:t>111</w:t>
      </w:r>
      <w:r w:rsidRPr="0001486D">
        <w:rPr>
          <w:rFonts w:ascii="標楷體" w:eastAsia="標楷體" w:hint="eastAsia"/>
          <w:szCs w:val="24"/>
        </w:rPr>
        <w:t>年補助經費參考。</w:t>
      </w:r>
    </w:p>
    <w:p w:rsidR="006E3317" w:rsidRPr="003075F8" w:rsidRDefault="006E3317" w:rsidP="006E3317">
      <w:pPr>
        <w:pStyle w:val="a7"/>
        <w:numPr>
          <w:ilvl w:val="0"/>
          <w:numId w:val="15"/>
        </w:numPr>
        <w:spacing w:line="400" w:lineRule="exact"/>
        <w:ind w:leftChars="0"/>
        <w:jc w:val="both"/>
        <w:rPr>
          <w:rFonts w:ascii="標楷體" w:eastAsia="標楷體"/>
          <w:szCs w:val="24"/>
        </w:rPr>
      </w:pPr>
      <w:r w:rsidRPr="0001486D">
        <w:rPr>
          <w:rFonts w:ascii="標楷體" w:eastAsia="標楷體" w:hAnsi="標楷體" w:cs="標楷體" w:hint="eastAsia"/>
          <w:szCs w:val="24"/>
        </w:rPr>
        <w:t>各辦理學校應依縣府主計審查通過之</w:t>
      </w:r>
      <w:r w:rsidRPr="0001486D">
        <w:rPr>
          <w:rFonts w:ascii="標楷體" w:eastAsia="標楷體" w:hAnsi="標楷體" w:cs="標楷體" w:hint="eastAsia"/>
          <w:szCs w:val="24"/>
          <w:u w:val="single"/>
        </w:rPr>
        <w:t>經費概算表</w:t>
      </w:r>
      <w:r w:rsidRPr="0001486D">
        <w:rPr>
          <w:rFonts w:ascii="標楷體" w:eastAsia="標楷體" w:hAnsi="標楷體" w:cs="標楷體" w:hint="eastAsia"/>
          <w:szCs w:val="24"/>
        </w:rPr>
        <w:t>及本中心補助及委辦</w:t>
      </w:r>
      <w:r w:rsidRPr="0001486D">
        <w:rPr>
          <w:rFonts w:ascii="標楷體" w:eastAsia="標楷體" w:hAnsi="標楷體" w:cs="標楷體" w:hint="eastAsia"/>
          <w:szCs w:val="24"/>
          <w:u w:val="single"/>
        </w:rPr>
        <w:t>經費編列基準原則</w:t>
      </w:r>
      <w:r w:rsidRPr="0001486D">
        <w:rPr>
          <w:rFonts w:ascii="標楷體" w:eastAsia="標楷體" w:hAnsi="標楷體" w:cs="標楷體" w:hint="eastAsia"/>
          <w:szCs w:val="24"/>
        </w:rPr>
        <w:t>相關規定，依核定經費</w:t>
      </w:r>
      <w:r w:rsidRPr="0001486D">
        <w:rPr>
          <w:rFonts w:ascii="標楷體" w:eastAsia="標楷體" w:hAnsi="標楷體" w:hint="eastAsia"/>
          <w:szCs w:val="24"/>
        </w:rPr>
        <w:t>核實動支，不得移作他用且不得勻支，專款專用，成果照片與原申請計畫不相符者，不予撥款補助。</w:t>
      </w:r>
    </w:p>
    <w:p w:rsidR="006E3317" w:rsidRPr="00370098" w:rsidRDefault="006E3317" w:rsidP="006E3317">
      <w:pPr>
        <w:spacing w:line="400" w:lineRule="exact"/>
        <w:jc w:val="both"/>
        <w:rPr>
          <w:rFonts w:ascii="標楷體" w:eastAsia="標楷體" w:hAnsi="標楷體"/>
          <w:b/>
          <w:color w:val="FF0000"/>
          <w:szCs w:val="24"/>
        </w:rPr>
      </w:pPr>
      <w:r w:rsidRPr="00370098">
        <w:rPr>
          <w:rFonts w:ascii="標楷體" w:eastAsia="標楷體" w:hint="eastAsia"/>
          <w:b/>
          <w:color w:val="FF0000"/>
          <w:szCs w:val="24"/>
        </w:rPr>
        <w:t>三、核結作業:</w:t>
      </w:r>
    </w:p>
    <w:p w:rsidR="006E3317" w:rsidRPr="00370098" w:rsidRDefault="006E3317" w:rsidP="006E3317">
      <w:pPr>
        <w:spacing w:line="400" w:lineRule="exact"/>
        <w:ind w:leftChars="200" w:left="480"/>
        <w:jc w:val="both"/>
        <w:rPr>
          <w:rFonts w:ascii="標楷體" w:eastAsia="標楷體"/>
          <w:color w:val="FF0000"/>
          <w:szCs w:val="24"/>
        </w:rPr>
      </w:pPr>
      <w:r w:rsidRPr="00370098">
        <w:rPr>
          <w:rFonts w:ascii="標楷體" w:eastAsia="標楷體" w:hAnsi="標楷體" w:hint="eastAsia"/>
          <w:color w:val="FF0000"/>
          <w:szCs w:val="24"/>
        </w:rPr>
        <w:t>計畫執行完畢後一個月內，檢附核定公文、領據、核定實施計畫、簽到表、</w:t>
      </w:r>
      <w:r w:rsidRPr="00370098">
        <w:rPr>
          <w:rFonts w:ascii="標楷體" w:eastAsia="標楷體" w:hAnsi="標楷體" w:hint="eastAsia"/>
          <w:color w:val="FF0000"/>
          <w:szCs w:val="24"/>
          <w:u w:val="single"/>
        </w:rPr>
        <w:t>活動滿意度問卷</w:t>
      </w:r>
      <w:r w:rsidRPr="00370098">
        <w:rPr>
          <w:rFonts w:ascii="標楷體" w:eastAsia="標楷體" w:hAnsi="標楷體" w:hint="eastAsia"/>
          <w:color w:val="FF0000"/>
          <w:szCs w:val="24"/>
        </w:rPr>
        <w:t>、成果報告紙本(</w:t>
      </w:r>
      <w:r>
        <w:rPr>
          <w:rFonts w:ascii="標楷體" w:eastAsia="標楷體" w:hAnsi="標楷體" w:hint="eastAsia"/>
          <w:color w:val="FF0000"/>
          <w:szCs w:val="24"/>
        </w:rPr>
        <w:t>成果自評表、成果報告表、成果照片格式</w:t>
      </w:r>
      <w:r w:rsidRPr="00370098">
        <w:rPr>
          <w:rFonts w:ascii="標楷體" w:eastAsia="標楷體" w:hAnsi="標楷體" w:hint="eastAsia"/>
          <w:color w:val="FF0000"/>
          <w:szCs w:val="24"/>
        </w:rPr>
        <w:t>)與成果電子檔(請以格式.doc上傳至電子信箱ru0978232031@gmail.com)免備文逕送本中心辦理核結。</w:t>
      </w:r>
    </w:p>
    <w:p w:rsidR="006E3317" w:rsidRPr="00A26CFB" w:rsidRDefault="006E3317" w:rsidP="006E3317">
      <w:pPr>
        <w:tabs>
          <w:tab w:val="left" w:pos="142"/>
        </w:tabs>
        <w:spacing w:line="400" w:lineRule="exact"/>
        <w:jc w:val="both"/>
        <w:rPr>
          <w:rFonts w:ascii="標楷體" w:eastAsia="標楷體" w:hAnsi="標楷體"/>
          <w:b/>
          <w:szCs w:val="28"/>
        </w:rPr>
      </w:pPr>
      <w:r w:rsidRPr="00A26CFB">
        <w:rPr>
          <w:rFonts w:ascii="標楷體" w:eastAsia="標楷體" w:hAnsi="標楷體" w:hint="eastAsia"/>
          <w:b/>
          <w:szCs w:val="28"/>
        </w:rPr>
        <w:t>四、</w:t>
      </w:r>
      <w:r w:rsidRPr="00A26CFB">
        <w:rPr>
          <w:rFonts w:ascii="Times New Roman" w:eastAsia="標楷體" w:hAnsi="標楷體" w:hint="eastAsia"/>
          <w:b/>
        </w:rPr>
        <w:t>共通性審查意見說明：</w:t>
      </w:r>
    </w:p>
    <w:p w:rsidR="006E3317" w:rsidRPr="0066517D" w:rsidRDefault="006E3317" w:rsidP="006E3317">
      <w:pPr>
        <w:pStyle w:val="a7"/>
        <w:numPr>
          <w:ilvl w:val="0"/>
          <w:numId w:val="14"/>
        </w:numPr>
        <w:tabs>
          <w:tab w:val="left" w:pos="1134"/>
        </w:tabs>
        <w:spacing w:line="400" w:lineRule="exact"/>
        <w:ind w:leftChars="0"/>
        <w:jc w:val="both"/>
        <w:rPr>
          <w:rFonts w:ascii="Times New Roman" w:eastAsia="標楷體" w:hAnsi="Times New Roman"/>
        </w:rPr>
      </w:pPr>
      <w:r w:rsidRPr="0066517D">
        <w:rPr>
          <w:rFonts w:ascii="Times New Roman" w:eastAsia="標楷體" w:hAnsi="Times New Roman" w:hint="eastAsia"/>
        </w:rPr>
        <w:t>膳費：膳費</w:t>
      </w:r>
      <w:r>
        <w:rPr>
          <w:rFonts w:ascii="Times New Roman" w:eastAsia="標楷體" w:hAnsi="Times New Roman" w:hint="eastAsia"/>
        </w:rPr>
        <w:t>100</w:t>
      </w:r>
      <w:r w:rsidRPr="0066517D">
        <w:rPr>
          <w:rFonts w:ascii="Times New Roman" w:eastAsia="標楷體" w:hAnsi="Times New Roman" w:hint="eastAsia"/>
        </w:rPr>
        <w:t>元、茶點費</w:t>
      </w:r>
      <w:r w:rsidRPr="0066517D">
        <w:rPr>
          <w:rFonts w:ascii="Times New Roman" w:eastAsia="標楷體" w:hAnsi="Times New Roman" w:hint="eastAsia"/>
        </w:rPr>
        <w:t>40</w:t>
      </w:r>
      <w:r w:rsidRPr="0066517D">
        <w:rPr>
          <w:rFonts w:ascii="Times New Roman" w:eastAsia="標楷體" w:hAnsi="Times New Roman" w:hint="eastAsia"/>
        </w:rPr>
        <w:t>元、茶水費</w:t>
      </w:r>
      <w:r w:rsidRPr="0066517D">
        <w:rPr>
          <w:rFonts w:ascii="Times New Roman" w:eastAsia="標楷體" w:hAnsi="Times New Roman" w:hint="eastAsia"/>
        </w:rPr>
        <w:t>20</w:t>
      </w:r>
      <w:r w:rsidRPr="0066517D">
        <w:rPr>
          <w:rFonts w:ascii="Times New Roman" w:eastAsia="標楷體" w:hAnsi="Times New Roman" w:hint="eastAsia"/>
        </w:rPr>
        <w:t>元，原則上三擇一，依課程時數、簽到表與照片人數核實支應。</w:t>
      </w:r>
    </w:p>
    <w:p w:rsidR="006E3317" w:rsidRPr="0066517D" w:rsidRDefault="006E3317" w:rsidP="006E3317">
      <w:pPr>
        <w:pStyle w:val="a7"/>
        <w:numPr>
          <w:ilvl w:val="0"/>
          <w:numId w:val="14"/>
        </w:numPr>
        <w:tabs>
          <w:tab w:val="left" w:pos="1134"/>
        </w:tabs>
        <w:spacing w:line="400" w:lineRule="exact"/>
        <w:ind w:leftChars="0"/>
        <w:jc w:val="both"/>
        <w:rPr>
          <w:rFonts w:ascii="Times New Roman" w:eastAsia="標楷體" w:hAnsi="Times New Roman"/>
        </w:rPr>
      </w:pPr>
      <w:r w:rsidRPr="0066517D">
        <w:rPr>
          <w:rFonts w:ascii="Times New Roman" w:eastAsia="標楷體" w:hAnsi="Times New Roman" w:hint="eastAsia"/>
        </w:rPr>
        <w:t>講師鐘點費：辦理講座者始得申請，</w:t>
      </w:r>
      <w:r w:rsidRPr="0066517D">
        <w:rPr>
          <w:rFonts w:ascii="Times New Roman" w:eastAsia="標楷體" w:hAnsi="Times New Roman" w:hint="eastAsia"/>
        </w:rPr>
        <w:t>50</w:t>
      </w:r>
      <w:r w:rsidRPr="0066517D">
        <w:rPr>
          <w:rFonts w:ascii="Times New Roman" w:eastAsia="標楷體" w:hAnsi="Times New Roman" w:hint="eastAsia"/>
        </w:rPr>
        <w:t>分鐘為一節，連排</w:t>
      </w:r>
      <w:r w:rsidRPr="0066517D">
        <w:rPr>
          <w:rFonts w:ascii="Times New Roman" w:eastAsia="標楷體" w:hAnsi="Times New Roman" w:hint="eastAsia"/>
        </w:rPr>
        <w:t>90</w:t>
      </w:r>
      <w:r w:rsidRPr="0066517D">
        <w:rPr>
          <w:rFonts w:ascii="Times New Roman" w:eastAsia="標楷體" w:hAnsi="Times New Roman" w:hint="eastAsia"/>
        </w:rPr>
        <w:t>分鐘可視二節課，外聘專家學者最高</w:t>
      </w:r>
      <w:r w:rsidRPr="0066517D">
        <w:rPr>
          <w:rFonts w:ascii="Times New Roman" w:eastAsia="標楷體" w:hAnsi="Times New Roman" w:hint="eastAsia"/>
        </w:rPr>
        <w:t>2000</w:t>
      </w:r>
      <w:r w:rsidRPr="0066517D">
        <w:rPr>
          <w:rFonts w:ascii="Times New Roman" w:eastAsia="標楷體" w:hAnsi="Times New Roman" w:hint="eastAsia"/>
        </w:rPr>
        <w:t>元、內聘講師最高</w:t>
      </w:r>
      <w:r w:rsidRPr="0066517D">
        <w:rPr>
          <w:rFonts w:ascii="Times New Roman" w:eastAsia="標楷體" w:hAnsi="Times New Roman" w:hint="eastAsia"/>
        </w:rPr>
        <w:t>1000</w:t>
      </w:r>
      <w:r w:rsidRPr="0066517D">
        <w:rPr>
          <w:rFonts w:ascii="Times New Roman" w:eastAsia="標楷體" w:hAnsi="Times New Roman" w:hint="eastAsia"/>
        </w:rPr>
        <w:t>元，本中心可視活動內容及講師背景核定講師鐘點費金額。核銷時請檢附講座課程表、講師簽到</w:t>
      </w:r>
      <w:r w:rsidRPr="0066517D">
        <w:rPr>
          <w:rFonts w:ascii="Times New Roman" w:eastAsia="標楷體" w:hAnsi="Times New Roman" w:hint="eastAsia"/>
        </w:rPr>
        <w:t>/</w:t>
      </w:r>
      <w:r w:rsidRPr="0066517D">
        <w:rPr>
          <w:rFonts w:ascii="Times New Roman" w:eastAsia="標楷體" w:hAnsi="Times New Roman" w:hint="eastAsia"/>
        </w:rPr>
        <w:t>退簿等製表黏貼於講師鐘點費領據後，並請於說明欄敘明內聘、外聘講師。（凡活動主持人、司儀、宣導等，不予補助鐘點費）。</w:t>
      </w:r>
    </w:p>
    <w:p w:rsidR="006E3317" w:rsidRPr="0066517D" w:rsidRDefault="006E3317" w:rsidP="006E3317">
      <w:pPr>
        <w:pStyle w:val="a7"/>
        <w:numPr>
          <w:ilvl w:val="0"/>
          <w:numId w:val="14"/>
        </w:numPr>
        <w:tabs>
          <w:tab w:val="left" w:pos="1134"/>
        </w:tabs>
        <w:spacing w:line="400" w:lineRule="exact"/>
        <w:ind w:leftChars="0"/>
        <w:jc w:val="both"/>
        <w:rPr>
          <w:rFonts w:ascii="Times New Roman" w:eastAsia="標楷體" w:hAnsi="Times New Roman"/>
        </w:rPr>
      </w:pPr>
      <w:r w:rsidRPr="0066517D">
        <w:rPr>
          <w:rFonts w:ascii="Times New Roman" w:eastAsia="標楷體" w:hAnsi="Times New Roman" w:hint="eastAsia"/>
        </w:rPr>
        <w:t>補充保費：請就講師鐘點費按其合計之</w:t>
      </w:r>
      <w:r w:rsidRPr="0066517D">
        <w:rPr>
          <w:rFonts w:ascii="Times New Roman" w:eastAsia="標楷體" w:hAnsi="Times New Roman" w:hint="eastAsia"/>
        </w:rPr>
        <w:t>2.11</w:t>
      </w:r>
      <w:r w:rsidRPr="0066517D">
        <w:rPr>
          <w:rFonts w:ascii="Times New Roman" w:eastAsia="標楷體" w:hAnsi="Times New Roman" w:hint="eastAsia"/>
        </w:rPr>
        <w:t>％編列二代健保補充保費。</w:t>
      </w:r>
    </w:p>
    <w:p w:rsidR="006E3317" w:rsidRPr="0066517D" w:rsidRDefault="006E3317" w:rsidP="006E3317">
      <w:pPr>
        <w:pStyle w:val="a7"/>
        <w:numPr>
          <w:ilvl w:val="0"/>
          <w:numId w:val="14"/>
        </w:numPr>
        <w:tabs>
          <w:tab w:val="left" w:pos="1134"/>
        </w:tabs>
        <w:spacing w:line="400" w:lineRule="exact"/>
        <w:ind w:leftChars="0"/>
        <w:jc w:val="both"/>
        <w:rPr>
          <w:rFonts w:ascii="Times New Roman" w:eastAsia="標楷體" w:hAnsi="Times New Roman"/>
        </w:rPr>
      </w:pPr>
      <w:r w:rsidRPr="0066517D">
        <w:rPr>
          <w:rFonts w:ascii="Times New Roman" w:eastAsia="標楷體" w:hAnsi="Times New Roman" w:hint="eastAsia"/>
        </w:rPr>
        <w:t>交通費：請於說明欄敘明地點起迄，核實支應，補助以本縣大眾交通工具往返為主。</w:t>
      </w:r>
    </w:p>
    <w:p w:rsidR="006E3317" w:rsidRPr="0066517D" w:rsidRDefault="006E3317" w:rsidP="006E3317">
      <w:pPr>
        <w:pStyle w:val="a7"/>
        <w:numPr>
          <w:ilvl w:val="0"/>
          <w:numId w:val="14"/>
        </w:numPr>
        <w:tabs>
          <w:tab w:val="left" w:pos="1134"/>
        </w:tabs>
        <w:spacing w:line="400" w:lineRule="exact"/>
        <w:ind w:leftChars="0"/>
        <w:jc w:val="both"/>
        <w:rPr>
          <w:rFonts w:ascii="Times New Roman" w:eastAsia="標楷體" w:hAnsi="Times New Roman"/>
        </w:rPr>
      </w:pPr>
      <w:r w:rsidRPr="0066517D">
        <w:rPr>
          <w:rFonts w:ascii="Times New Roman" w:eastAsia="標楷體" w:hAnsi="Times New Roman" w:hint="eastAsia"/>
        </w:rPr>
        <w:t>印刷費：講義、手冊印製，請於說明欄敘明品項，核實支應。</w:t>
      </w:r>
    </w:p>
    <w:p w:rsidR="006E3317" w:rsidRPr="0066517D" w:rsidRDefault="006E3317" w:rsidP="006E3317">
      <w:pPr>
        <w:pStyle w:val="a7"/>
        <w:numPr>
          <w:ilvl w:val="0"/>
          <w:numId w:val="14"/>
        </w:numPr>
        <w:tabs>
          <w:tab w:val="left" w:pos="1134"/>
        </w:tabs>
        <w:spacing w:line="400" w:lineRule="exact"/>
        <w:ind w:leftChars="0"/>
        <w:jc w:val="both"/>
        <w:rPr>
          <w:rFonts w:ascii="Times New Roman" w:eastAsia="標楷體" w:hAnsi="Times New Roman"/>
        </w:rPr>
      </w:pPr>
      <w:r w:rsidRPr="0066517D">
        <w:rPr>
          <w:rFonts w:ascii="Times New Roman" w:eastAsia="標楷體" w:hAnsi="Times New Roman" w:hint="eastAsia"/>
        </w:rPr>
        <w:t>材料費：上課或活動用材料費最高補助每人</w:t>
      </w:r>
      <w:r w:rsidRPr="0066517D">
        <w:rPr>
          <w:rFonts w:ascii="Times New Roman" w:eastAsia="標楷體" w:hAnsi="Times New Roman" w:hint="eastAsia"/>
        </w:rPr>
        <w:t>100</w:t>
      </w:r>
      <w:r w:rsidRPr="0066517D">
        <w:rPr>
          <w:rFonts w:ascii="Times New Roman" w:eastAsia="標楷體" w:hAnsi="Times New Roman" w:hint="eastAsia"/>
        </w:rPr>
        <w:t>元，核實支應。</w:t>
      </w:r>
    </w:p>
    <w:p w:rsidR="006E3317" w:rsidRDefault="006E3317" w:rsidP="006E3317">
      <w:pPr>
        <w:pStyle w:val="a7"/>
        <w:numPr>
          <w:ilvl w:val="0"/>
          <w:numId w:val="14"/>
        </w:numPr>
        <w:tabs>
          <w:tab w:val="left" w:pos="1134"/>
        </w:tabs>
        <w:spacing w:line="400" w:lineRule="exact"/>
        <w:ind w:leftChars="0"/>
        <w:jc w:val="both"/>
        <w:rPr>
          <w:rFonts w:ascii="Times New Roman" w:eastAsia="標楷體" w:hAnsi="Times New Roman"/>
        </w:rPr>
      </w:pPr>
      <w:r w:rsidRPr="0066517D">
        <w:rPr>
          <w:rFonts w:ascii="Times New Roman" w:eastAsia="標楷體" w:hAnsi="Times New Roman" w:hint="eastAsia"/>
        </w:rPr>
        <w:t>雜支：凡前項費用未列之辦公事務費用屬之，如：紙張、辦公文具用品、郵資等，以業務費總額</w:t>
      </w:r>
      <w:r w:rsidRPr="0066517D">
        <w:rPr>
          <w:rFonts w:ascii="Times New Roman" w:eastAsia="標楷體" w:hAnsi="Times New Roman" w:hint="eastAsia"/>
        </w:rPr>
        <w:t>6</w:t>
      </w:r>
      <w:r w:rsidRPr="0066517D">
        <w:rPr>
          <w:rFonts w:ascii="Times New Roman" w:eastAsia="標楷體" w:hAnsi="Times New Roman" w:hint="eastAsia"/>
        </w:rPr>
        <w:t>％為限。</w:t>
      </w:r>
    </w:p>
    <w:p w:rsidR="006E3317" w:rsidRPr="00E615E9" w:rsidRDefault="006E3317" w:rsidP="006E3317">
      <w:pPr>
        <w:pStyle w:val="a7"/>
        <w:numPr>
          <w:ilvl w:val="0"/>
          <w:numId w:val="14"/>
        </w:numPr>
        <w:tabs>
          <w:tab w:val="left" w:pos="1134"/>
        </w:tabs>
        <w:spacing w:line="400" w:lineRule="exact"/>
        <w:ind w:leftChars="0"/>
        <w:jc w:val="both"/>
        <w:rPr>
          <w:rFonts w:ascii="Times New Roman" w:eastAsia="標楷體" w:hAnsi="Times New Roman"/>
        </w:rPr>
      </w:pPr>
      <w:r w:rsidRPr="00E615E9">
        <w:rPr>
          <w:rFonts w:ascii="Times New Roman" w:eastAsia="標楷體" w:hAnsi="Times New Roman" w:hint="eastAsia"/>
        </w:rPr>
        <w:t>不予補助項目，請學校（單位）自籌：舞台搭設與背板、音響器材發電機租借、帳篷、摸彩品、獎品、需列入學校財產管理之物品材料費、遊覽車交通費、布條費等等。</w:t>
      </w:r>
    </w:p>
    <w:p w:rsidR="006E3317" w:rsidRPr="00370098" w:rsidRDefault="006E3317" w:rsidP="006E3317">
      <w:pPr>
        <w:spacing w:line="400" w:lineRule="exact"/>
        <w:ind w:left="567" w:hangingChars="236" w:hanging="567"/>
        <w:jc w:val="both"/>
        <w:rPr>
          <w:rFonts w:ascii="標楷體" w:eastAsia="標楷體" w:hAnsi="標楷體"/>
          <w:b/>
          <w:szCs w:val="24"/>
        </w:rPr>
      </w:pPr>
      <w:r>
        <w:rPr>
          <w:rFonts w:ascii="標楷體" w:eastAsia="標楷體" w:hAnsi="標楷體" w:hint="eastAsia"/>
          <w:b/>
          <w:szCs w:val="24"/>
        </w:rPr>
        <w:t>五</w:t>
      </w:r>
      <w:r w:rsidRPr="006437A5">
        <w:rPr>
          <w:rFonts w:ascii="標楷體" w:eastAsia="標楷體" w:hAnsi="標楷體" w:hint="eastAsia"/>
          <w:b/>
          <w:szCs w:val="24"/>
        </w:rPr>
        <w:t>、</w:t>
      </w:r>
      <w:r w:rsidRPr="006437A5">
        <w:rPr>
          <w:rFonts w:ascii="標楷體" w:eastAsia="標楷體" w:hAnsi="標楷體" w:hint="eastAsia"/>
          <w:szCs w:val="24"/>
        </w:rPr>
        <w:t>為配合教育部家庭教育相關重要議題宣導，請於課餘時間或活動前進行家庭教育相關宣導，相關議題之資訊及影片請至家庭教育中心網站參考。</w:t>
      </w:r>
    </w:p>
    <w:p w:rsidR="006E3317" w:rsidRPr="006E3317" w:rsidRDefault="006E3317" w:rsidP="006E3317">
      <w:pPr>
        <w:spacing w:line="400" w:lineRule="exact"/>
        <w:jc w:val="both"/>
        <w:rPr>
          <w:rFonts w:ascii="標楷體" w:eastAsia="標楷體" w:hAnsi="標楷體"/>
          <w:szCs w:val="24"/>
        </w:rPr>
      </w:pPr>
      <w:r w:rsidRPr="006437A5">
        <w:rPr>
          <w:rFonts w:ascii="標楷體" w:eastAsia="標楷體" w:hAnsi="標楷體" w:hint="eastAsia"/>
          <w:szCs w:val="24"/>
        </w:rPr>
        <w:t>宣導內容:性別平等教育</w:t>
      </w:r>
      <w:r>
        <w:rPr>
          <w:rFonts w:ascii="標楷體" w:eastAsia="標楷體" w:hAnsi="標楷體" w:hint="eastAsia"/>
          <w:szCs w:val="24"/>
        </w:rPr>
        <w:t>、</w:t>
      </w:r>
      <w:r w:rsidRPr="006E3317">
        <w:rPr>
          <w:rFonts w:ascii="標楷體" w:eastAsia="標楷體" w:hAnsi="標楷體" w:hint="eastAsia"/>
          <w:szCs w:val="24"/>
        </w:rPr>
        <w:t>家庭暴力防治</w:t>
      </w:r>
      <w:r>
        <w:rPr>
          <w:rFonts w:ascii="標楷體" w:eastAsia="標楷體" w:hAnsi="標楷體" w:hint="eastAsia"/>
          <w:szCs w:val="24"/>
        </w:rPr>
        <w:t>、</w:t>
      </w:r>
      <w:r w:rsidRPr="006437A5">
        <w:rPr>
          <w:rFonts w:ascii="標楷體" w:eastAsia="標楷體" w:hAnsi="標楷體" w:hint="eastAsia"/>
          <w:szCs w:val="24"/>
        </w:rPr>
        <w:t>財產繼承及姓氏選擇之性別平等議題</w:t>
      </w:r>
      <w:r>
        <w:rPr>
          <w:rFonts w:ascii="標楷體" w:eastAsia="標楷體" w:hAnsi="標楷體" w:hint="eastAsia"/>
          <w:szCs w:val="24"/>
        </w:rPr>
        <w:t>、</w:t>
      </w:r>
      <w:r w:rsidRPr="006437A5">
        <w:rPr>
          <w:rFonts w:ascii="標楷體" w:eastAsia="標楷體" w:hAnsi="標楷體" w:hint="eastAsia"/>
          <w:szCs w:val="24"/>
        </w:rPr>
        <w:t>性侵害、性騷擾及性霸凌等防治</w:t>
      </w:r>
      <w:r>
        <w:rPr>
          <w:rFonts w:ascii="標楷體" w:eastAsia="標楷體" w:hAnsi="標楷體" w:hint="eastAsia"/>
          <w:szCs w:val="24"/>
        </w:rPr>
        <w:t>、</w:t>
      </w:r>
      <w:r w:rsidRPr="006437A5">
        <w:rPr>
          <w:rFonts w:ascii="標楷體" w:eastAsia="標楷體" w:hAnsi="標楷體" w:hint="eastAsia"/>
          <w:szCs w:val="24"/>
        </w:rPr>
        <w:t>安全健康上網</w:t>
      </w:r>
      <w:r>
        <w:rPr>
          <w:rFonts w:ascii="標楷體" w:eastAsia="標楷體" w:hAnsi="標楷體" w:hint="eastAsia"/>
          <w:szCs w:val="24"/>
        </w:rPr>
        <w:t>、</w:t>
      </w:r>
      <w:r w:rsidRPr="006437A5">
        <w:rPr>
          <w:rFonts w:ascii="標楷體" w:eastAsia="標楷體" w:hAnsi="標楷體" w:hint="eastAsia"/>
          <w:szCs w:val="24"/>
        </w:rPr>
        <w:t>人口教育宣導</w:t>
      </w:r>
    </w:p>
    <w:p w:rsidR="00BD6FEC" w:rsidRPr="004B1E70" w:rsidRDefault="00BD6FEC" w:rsidP="006E3317">
      <w:pPr>
        <w:spacing w:beforeLines="50" w:line="400" w:lineRule="exact"/>
      </w:pPr>
    </w:p>
    <w:sectPr w:rsidR="00BD6FEC" w:rsidRPr="004B1E70" w:rsidSect="00C51E0B">
      <w:pgSz w:w="11906" w:h="17338"/>
      <w:pgMar w:top="720" w:right="680" w:bottom="720" w:left="68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EE4" w:rsidRDefault="00797EE4" w:rsidP="00733EE8">
      <w:r>
        <w:separator/>
      </w:r>
    </w:p>
  </w:endnote>
  <w:endnote w:type="continuationSeparator" w:id="0">
    <w:p w:rsidR="00797EE4" w:rsidRDefault="00797EE4" w:rsidP="00733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EE4" w:rsidRDefault="00797EE4" w:rsidP="00733EE8">
      <w:r>
        <w:separator/>
      </w:r>
    </w:p>
  </w:footnote>
  <w:footnote w:type="continuationSeparator" w:id="0">
    <w:p w:rsidR="00797EE4" w:rsidRDefault="00797EE4" w:rsidP="00733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5A4"/>
    <w:multiLevelType w:val="hybridMultilevel"/>
    <w:tmpl w:val="162297F2"/>
    <w:lvl w:ilvl="0" w:tplc="F050D4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E81616"/>
    <w:multiLevelType w:val="hybridMultilevel"/>
    <w:tmpl w:val="561A9328"/>
    <w:lvl w:ilvl="0" w:tplc="0409000F">
      <w:start w:val="1"/>
      <w:numFmt w:val="decimal"/>
      <w:lvlText w:val="%1."/>
      <w:lvlJc w:val="left"/>
      <w:pPr>
        <w:ind w:left="960" w:hanging="480"/>
      </w:pPr>
    </w:lvl>
    <w:lvl w:ilvl="1" w:tplc="04090019">
      <w:start w:val="1"/>
      <w:numFmt w:val="decimal"/>
      <w:lvlText w:val="%2."/>
      <w:lvlJc w:val="left"/>
      <w:pPr>
        <w:tabs>
          <w:tab w:val="num" w:pos="1920"/>
        </w:tabs>
        <w:ind w:left="1920" w:hanging="360"/>
      </w:pPr>
    </w:lvl>
    <w:lvl w:ilvl="2" w:tplc="0409001B">
      <w:start w:val="1"/>
      <w:numFmt w:val="decimal"/>
      <w:lvlText w:val="%3."/>
      <w:lvlJc w:val="left"/>
      <w:pPr>
        <w:tabs>
          <w:tab w:val="num" w:pos="2640"/>
        </w:tabs>
        <w:ind w:left="2640" w:hanging="360"/>
      </w:pPr>
    </w:lvl>
    <w:lvl w:ilvl="3" w:tplc="0409000F">
      <w:start w:val="1"/>
      <w:numFmt w:val="decimal"/>
      <w:lvlText w:val="%4."/>
      <w:lvlJc w:val="left"/>
      <w:pPr>
        <w:tabs>
          <w:tab w:val="num" w:pos="3360"/>
        </w:tabs>
        <w:ind w:left="3360" w:hanging="360"/>
      </w:pPr>
    </w:lvl>
    <w:lvl w:ilvl="4" w:tplc="04090019">
      <w:start w:val="1"/>
      <w:numFmt w:val="decimal"/>
      <w:lvlText w:val="%5."/>
      <w:lvlJc w:val="left"/>
      <w:pPr>
        <w:tabs>
          <w:tab w:val="num" w:pos="4080"/>
        </w:tabs>
        <w:ind w:left="4080" w:hanging="360"/>
      </w:pPr>
    </w:lvl>
    <w:lvl w:ilvl="5" w:tplc="0409001B">
      <w:start w:val="1"/>
      <w:numFmt w:val="decimal"/>
      <w:lvlText w:val="%6."/>
      <w:lvlJc w:val="left"/>
      <w:pPr>
        <w:tabs>
          <w:tab w:val="num" w:pos="4800"/>
        </w:tabs>
        <w:ind w:left="4800" w:hanging="360"/>
      </w:pPr>
    </w:lvl>
    <w:lvl w:ilvl="6" w:tplc="0409000F">
      <w:start w:val="1"/>
      <w:numFmt w:val="decimal"/>
      <w:lvlText w:val="%7."/>
      <w:lvlJc w:val="left"/>
      <w:pPr>
        <w:tabs>
          <w:tab w:val="num" w:pos="5520"/>
        </w:tabs>
        <w:ind w:left="5520" w:hanging="360"/>
      </w:pPr>
    </w:lvl>
    <w:lvl w:ilvl="7" w:tplc="04090019">
      <w:start w:val="1"/>
      <w:numFmt w:val="decimal"/>
      <w:lvlText w:val="%8."/>
      <w:lvlJc w:val="left"/>
      <w:pPr>
        <w:tabs>
          <w:tab w:val="num" w:pos="6240"/>
        </w:tabs>
        <w:ind w:left="6240" w:hanging="360"/>
      </w:pPr>
    </w:lvl>
    <w:lvl w:ilvl="8" w:tplc="0409001B">
      <w:start w:val="1"/>
      <w:numFmt w:val="decimal"/>
      <w:lvlText w:val="%9."/>
      <w:lvlJc w:val="left"/>
      <w:pPr>
        <w:tabs>
          <w:tab w:val="num" w:pos="6960"/>
        </w:tabs>
        <w:ind w:left="6960" w:hanging="360"/>
      </w:pPr>
    </w:lvl>
  </w:abstractNum>
  <w:abstractNum w:abstractNumId="2">
    <w:nsid w:val="0F6A794C"/>
    <w:multiLevelType w:val="hybridMultilevel"/>
    <w:tmpl w:val="DCB800EE"/>
    <w:lvl w:ilvl="0" w:tplc="F050D47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07F0291"/>
    <w:multiLevelType w:val="hybridMultilevel"/>
    <w:tmpl w:val="65782936"/>
    <w:lvl w:ilvl="0" w:tplc="F050D4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BA01D6"/>
    <w:multiLevelType w:val="hybridMultilevel"/>
    <w:tmpl w:val="0456C920"/>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5F053BC"/>
    <w:multiLevelType w:val="hybridMultilevel"/>
    <w:tmpl w:val="DCB800EE"/>
    <w:lvl w:ilvl="0" w:tplc="F050D47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C2F67B9"/>
    <w:multiLevelType w:val="hybridMultilevel"/>
    <w:tmpl w:val="CF36EDCC"/>
    <w:lvl w:ilvl="0" w:tplc="7246559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nsid w:val="1E665416"/>
    <w:multiLevelType w:val="hybridMultilevel"/>
    <w:tmpl w:val="12EAEA26"/>
    <w:lvl w:ilvl="0" w:tplc="F050D4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00947F1"/>
    <w:multiLevelType w:val="hybridMultilevel"/>
    <w:tmpl w:val="A9E2BB60"/>
    <w:lvl w:ilvl="0" w:tplc="4084830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2031CF2"/>
    <w:multiLevelType w:val="hybridMultilevel"/>
    <w:tmpl w:val="D660A776"/>
    <w:lvl w:ilvl="0" w:tplc="7246559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nsid w:val="4DBF6F58"/>
    <w:multiLevelType w:val="hybridMultilevel"/>
    <w:tmpl w:val="84821866"/>
    <w:lvl w:ilvl="0" w:tplc="404C38DA">
      <w:start w:val="1"/>
      <w:numFmt w:val="taiwaneseCountingThousand"/>
      <w:lvlText w:val="（%1）"/>
      <w:lvlJc w:val="left"/>
      <w:pPr>
        <w:ind w:left="1920" w:hanging="10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5AE83CF8"/>
    <w:multiLevelType w:val="hybridMultilevel"/>
    <w:tmpl w:val="D660A776"/>
    <w:lvl w:ilvl="0" w:tplc="7246559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nsid w:val="63631927"/>
    <w:multiLevelType w:val="hybridMultilevel"/>
    <w:tmpl w:val="A0A088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B372FAB"/>
    <w:multiLevelType w:val="hybridMultilevel"/>
    <w:tmpl w:val="DCB800EE"/>
    <w:lvl w:ilvl="0" w:tplc="F050D47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7D2C4427"/>
    <w:multiLevelType w:val="hybridMultilevel"/>
    <w:tmpl w:val="84821866"/>
    <w:lvl w:ilvl="0" w:tplc="404C38DA">
      <w:start w:val="1"/>
      <w:numFmt w:val="taiwaneseCountingThousand"/>
      <w:lvlText w:val="（%1）"/>
      <w:lvlJc w:val="left"/>
      <w:pPr>
        <w:ind w:left="1920" w:hanging="10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4"/>
  </w:num>
  <w:num w:numId="2">
    <w:abstractNumId w:val="10"/>
  </w:num>
  <w:num w:numId="3">
    <w:abstractNumId w:val="9"/>
  </w:num>
  <w:num w:numId="4">
    <w:abstractNumId w:val="11"/>
  </w:num>
  <w:num w:numId="5">
    <w:abstractNumId w:val="6"/>
  </w:num>
  <w:num w:numId="6">
    <w:abstractNumId w:val="12"/>
  </w:num>
  <w:num w:numId="7">
    <w:abstractNumId w:val="7"/>
  </w:num>
  <w:num w:numId="8">
    <w:abstractNumId w:val="13"/>
  </w:num>
  <w:num w:numId="9">
    <w:abstractNumId w:val="0"/>
  </w:num>
  <w:num w:numId="10">
    <w:abstractNumId w:val="5"/>
  </w:num>
  <w:num w:numId="11">
    <w:abstractNumId w:val="3"/>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1E70"/>
    <w:rsid w:val="000F2E8B"/>
    <w:rsid w:val="00173C40"/>
    <w:rsid w:val="0035748D"/>
    <w:rsid w:val="004B1E70"/>
    <w:rsid w:val="00531296"/>
    <w:rsid w:val="006E3317"/>
    <w:rsid w:val="00733EE8"/>
    <w:rsid w:val="00797EE4"/>
    <w:rsid w:val="00864F25"/>
    <w:rsid w:val="008A0A55"/>
    <w:rsid w:val="009C0669"/>
    <w:rsid w:val="00BD6FEC"/>
    <w:rsid w:val="00C51E0B"/>
    <w:rsid w:val="00DA7FEB"/>
    <w:rsid w:val="00F13AE3"/>
    <w:rsid w:val="00FC3781"/>
    <w:rsid w:val="00FD46D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31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1E70"/>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semiHidden/>
    <w:unhideWhenUsed/>
    <w:rsid w:val="00733EE8"/>
    <w:pPr>
      <w:tabs>
        <w:tab w:val="center" w:pos="4153"/>
        <w:tab w:val="right" w:pos="8306"/>
      </w:tabs>
      <w:snapToGrid w:val="0"/>
    </w:pPr>
    <w:rPr>
      <w:sz w:val="20"/>
      <w:szCs w:val="20"/>
    </w:rPr>
  </w:style>
  <w:style w:type="character" w:customStyle="1" w:styleId="a4">
    <w:name w:val="頁首 字元"/>
    <w:basedOn w:val="a0"/>
    <w:link w:val="a3"/>
    <w:uiPriority w:val="99"/>
    <w:semiHidden/>
    <w:rsid w:val="00733EE8"/>
    <w:rPr>
      <w:sz w:val="20"/>
      <w:szCs w:val="20"/>
    </w:rPr>
  </w:style>
  <w:style w:type="paragraph" w:styleId="a5">
    <w:name w:val="footer"/>
    <w:basedOn w:val="a"/>
    <w:link w:val="a6"/>
    <w:uiPriority w:val="99"/>
    <w:semiHidden/>
    <w:unhideWhenUsed/>
    <w:rsid w:val="00733EE8"/>
    <w:pPr>
      <w:tabs>
        <w:tab w:val="center" w:pos="4153"/>
        <w:tab w:val="right" w:pos="8306"/>
      </w:tabs>
      <w:snapToGrid w:val="0"/>
    </w:pPr>
    <w:rPr>
      <w:sz w:val="20"/>
      <w:szCs w:val="20"/>
    </w:rPr>
  </w:style>
  <w:style w:type="character" w:customStyle="1" w:styleId="a6">
    <w:name w:val="頁尾 字元"/>
    <w:basedOn w:val="a0"/>
    <w:link w:val="a5"/>
    <w:uiPriority w:val="99"/>
    <w:semiHidden/>
    <w:rsid w:val="00733EE8"/>
    <w:rPr>
      <w:sz w:val="20"/>
      <w:szCs w:val="20"/>
    </w:rPr>
  </w:style>
  <w:style w:type="paragraph" w:styleId="a7">
    <w:name w:val="List Paragraph"/>
    <w:basedOn w:val="a"/>
    <w:uiPriority w:val="34"/>
    <w:qFormat/>
    <w:rsid w:val="00733EE8"/>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2021-12-28T03:09:00Z</dcterms:created>
  <dcterms:modified xsi:type="dcterms:W3CDTF">2022-03-09T03:13:00Z</dcterms:modified>
</cp:coreProperties>
</file>